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FD" w:rsidRDefault="009C0983" w:rsidP="009C0983">
      <w:pPr>
        <w:spacing w:after="192"/>
        <w:textAlignment w:val="baseline"/>
        <w:outlineLvl w:val="0"/>
        <w:rPr>
          <w:rFonts w:ascii="Arial" w:eastAsia="Times New Roman" w:hAnsi="Arial" w:cs="Arial"/>
          <w:b/>
          <w:bCs/>
          <w:color w:val="595959" w:themeColor="text1" w:themeTint="A6"/>
          <w:kern w:val="36"/>
          <w:sz w:val="40"/>
          <w:szCs w:val="24"/>
          <w:lang w:eastAsia="ru-RU"/>
        </w:rPr>
      </w:pPr>
      <w:r w:rsidRPr="009C0983">
        <w:rPr>
          <w:rFonts w:ascii="Arial" w:eastAsia="Times New Roman" w:hAnsi="Arial" w:cs="Arial"/>
          <w:b/>
          <w:bCs/>
          <w:color w:val="595959" w:themeColor="text1" w:themeTint="A6"/>
          <w:kern w:val="36"/>
          <w:sz w:val="40"/>
          <w:szCs w:val="24"/>
          <w:lang w:eastAsia="ru-RU"/>
        </w:rPr>
        <w:t>Спрашивали? Отвечаем: «</w:t>
      </w:r>
      <w:r w:rsidR="00585DFD" w:rsidRPr="009C0983">
        <w:rPr>
          <w:rFonts w:ascii="Arial" w:eastAsia="Times New Roman" w:hAnsi="Arial" w:cs="Arial"/>
          <w:b/>
          <w:bCs/>
          <w:color w:val="595959" w:themeColor="text1" w:themeTint="A6"/>
          <w:kern w:val="36"/>
          <w:sz w:val="40"/>
          <w:szCs w:val="24"/>
          <w:lang w:eastAsia="ru-RU"/>
        </w:rPr>
        <w:t>Как зарегистрироваться и сняться с регистрационного учёта в ПФР</w:t>
      </w:r>
      <w:r w:rsidRPr="009C0983">
        <w:rPr>
          <w:rFonts w:ascii="Arial" w:eastAsia="Times New Roman" w:hAnsi="Arial" w:cs="Arial"/>
          <w:b/>
          <w:bCs/>
          <w:color w:val="595959" w:themeColor="text1" w:themeTint="A6"/>
          <w:kern w:val="36"/>
          <w:sz w:val="40"/>
          <w:szCs w:val="24"/>
          <w:lang w:eastAsia="ru-RU"/>
        </w:rPr>
        <w:t>»</w:t>
      </w:r>
    </w:p>
    <w:p w:rsidR="009C0983" w:rsidRPr="009C0983" w:rsidRDefault="009C0983" w:rsidP="009C0983">
      <w:pPr>
        <w:spacing w:after="0" w:line="240" w:lineRule="auto"/>
        <w:rPr>
          <w:rFonts w:ascii="Arial" w:eastAsia="Times New Roman" w:hAnsi="Arial" w:cs="Arial"/>
          <w:b/>
          <w:color w:val="595959" w:themeColor="text1" w:themeTint="A6"/>
          <w:sz w:val="28"/>
          <w:szCs w:val="28"/>
          <w:lang w:eastAsia="ru-RU"/>
        </w:rPr>
      </w:pPr>
      <w:r w:rsidRPr="009C0983">
        <w:rPr>
          <w:rFonts w:ascii="Arial" w:eastAsia="Times New Roman" w:hAnsi="Arial" w:cs="Arial"/>
          <w:b/>
          <w:color w:val="595959" w:themeColor="text1" w:themeTint="A6"/>
          <w:sz w:val="28"/>
          <w:szCs w:val="28"/>
          <w:lang w:eastAsia="ru-RU"/>
        </w:rPr>
        <w:t>Пресс-релиз</w:t>
      </w:r>
    </w:p>
    <w:p w:rsidR="009C0983" w:rsidRPr="009C0983" w:rsidRDefault="009C0983" w:rsidP="009C0983">
      <w:pPr>
        <w:spacing w:after="0" w:line="240" w:lineRule="auto"/>
        <w:rPr>
          <w:rFonts w:ascii="Arial" w:eastAsia="Times New Roman" w:hAnsi="Arial" w:cs="Arial"/>
          <w:b/>
          <w:color w:val="595959" w:themeColor="text1" w:themeTint="A6"/>
          <w:sz w:val="28"/>
          <w:szCs w:val="28"/>
          <w:lang w:eastAsia="ru-RU"/>
        </w:rPr>
      </w:pPr>
      <w:r w:rsidRPr="009C0983">
        <w:rPr>
          <w:rFonts w:ascii="Arial" w:eastAsia="Times New Roman" w:hAnsi="Arial" w:cs="Arial"/>
          <w:b/>
          <w:color w:val="595959" w:themeColor="text1" w:themeTint="A6"/>
          <w:sz w:val="28"/>
          <w:szCs w:val="28"/>
          <w:lang w:eastAsia="ru-RU"/>
        </w:rPr>
        <w:t>2</w:t>
      </w:r>
      <w:r w:rsidR="00A63113">
        <w:rPr>
          <w:rFonts w:ascii="Arial" w:eastAsia="Times New Roman" w:hAnsi="Arial" w:cs="Arial"/>
          <w:b/>
          <w:color w:val="595959" w:themeColor="text1" w:themeTint="A6"/>
          <w:sz w:val="28"/>
          <w:szCs w:val="28"/>
          <w:lang w:val="en-US" w:eastAsia="ru-RU"/>
        </w:rPr>
        <w:t>5</w:t>
      </w:r>
      <w:bookmarkStart w:id="0" w:name="_GoBack"/>
      <w:bookmarkEnd w:id="0"/>
      <w:r w:rsidRPr="009C0983">
        <w:rPr>
          <w:rFonts w:ascii="Arial" w:eastAsia="Times New Roman" w:hAnsi="Arial" w:cs="Arial"/>
          <w:b/>
          <w:color w:val="595959" w:themeColor="text1" w:themeTint="A6"/>
          <w:sz w:val="28"/>
          <w:szCs w:val="28"/>
          <w:lang w:eastAsia="ru-RU"/>
        </w:rPr>
        <w:t>.07.2017 г.</w:t>
      </w:r>
    </w:p>
    <w:p w:rsidR="009C0983" w:rsidRPr="009C0983" w:rsidRDefault="009C0983" w:rsidP="009C0983">
      <w:pPr>
        <w:spacing w:after="0" w:line="240" w:lineRule="auto"/>
        <w:rPr>
          <w:rFonts w:ascii="Arial" w:eastAsia="Times New Roman" w:hAnsi="Arial" w:cs="Arial"/>
          <w:b/>
          <w:color w:val="595959" w:themeColor="text1" w:themeTint="A6"/>
          <w:sz w:val="28"/>
          <w:szCs w:val="28"/>
          <w:lang w:eastAsia="ru-RU"/>
        </w:rPr>
      </w:pPr>
      <w:r w:rsidRPr="009C0983">
        <w:rPr>
          <w:rFonts w:ascii="Arial" w:eastAsia="Times New Roman" w:hAnsi="Arial" w:cs="Arial"/>
          <w:b/>
          <w:color w:val="595959" w:themeColor="text1" w:themeTint="A6"/>
          <w:sz w:val="28"/>
          <w:szCs w:val="28"/>
          <w:lang w:eastAsia="ru-RU"/>
        </w:rPr>
        <w:t>Нальчик. КБР.</w:t>
      </w:r>
    </w:p>
    <w:p w:rsidR="00585DFD" w:rsidRPr="009C0983" w:rsidRDefault="00585DFD" w:rsidP="009C0983">
      <w:pPr>
        <w:spacing w:after="240"/>
        <w:textAlignment w:val="baseline"/>
        <w:rPr>
          <w:rFonts w:ascii="Arial" w:eastAsia="Times New Roman" w:hAnsi="Arial" w:cs="Arial"/>
          <w:b/>
          <w:color w:val="595959" w:themeColor="text1" w:themeTint="A6"/>
          <w:sz w:val="24"/>
          <w:szCs w:val="24"/>
          <w:lang w:eastAsia="ru-RU"/>
        </w:rPr>
      </w:pPr>
    </w:p>
    <w:p w:rsidR="00585DFD" w:rsidRPr="009C0983" w:rsidRDefault="00585DFD" w:rsidP="009C0983">
      <w:pPr>
        <w:spacing w:after="240"/>
        <w:jc w:val="both"/>
        <w:textAlignment w:val="baseline"/>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С 1 января 2017 года ПФР будет осуществлять постановку на регистрационный учет только физических лиц добровольно вступающих:</w:t>
      </w:r>
    </w:p>
    <w:p w:rsidR="00585DFD" w:rsidRPr="009C0983" w:rsidRDefault="00585DFD" w:rsidP="009C0983">
      <w:pPr>
        <w:spacing w:after="240"/>
        <w:jc w:val="both"/>
        <w:textAlignment w:val="baseline"/>
        <w:rPr>
          <w:rFonts w:ascii="Arial" w:eastAsia="Times New Roman" w:hAnsi="Arial" w:cs="Arial"/>
          <w:i/>
          <w:color w:val="595959" w:themeColor="text1" w:themeTint="A6"/>
          <w:sz w:val="24"/>
          <w:szCs w:val="24"/>
          <w:lang w:eastAsia="ru-RU"/>
        </w:rPr>
      </w:pPr>
      <w:r w:rsidRPr="009C0983">
        <w:rPr>
          <w:rFonts w:ascii="Arial" w:eastAsia="Times New Roman" w:hAnsi="Arial" w:cs="Arial"/>
          <w:i/>
          <w:color w:val="595959" w:themeColor="text1" w:themeTint="A6"/>
          <w:sz w:val="24"/>
          <w:szCs w:val="24"/>
          <w:lang w:eastAsia="ru-RU"/>
        </w:rPr>
        <w:t>- в правоотношения по обязательному пенсионному страхованию;</w:t>
      </w:r>
    </w:p>
    <w:p w:rsidR="00585DFD" w:rsidRPr="009C0983" w:rsidRDefault="00585DFD" w:rsidP="009C0983">
      <w:pPr>
        <w:spacing w:after="240"/>
        <w:jc w:val="both"/>
        <w:textAlignment w:val="baseline"/>
        <w:rPr>
          <w:rFonts w:ascii="Arial" w:eastAsia="Times New Roman" w:hAnsi="Arial" w:cs="Arial"/>
          <w:i/>
          <w:color w:val="595959" w:themeColor="text1" w:themeTint="A6"/>
          <w:sz w:val="24"/>
          <w:szCs w:val="24"/>
          <w:lang w:eastAsia="ru-RU"/>
        </w:rPr>
      </w:pPr>
      <w:r w:rsidRPr="009C0983">
        <w:rPr>
          <w:rFonts w:ascii="Arial" w:eastAsia="Times New Roman" w:hAnsi="Arial" w:cs="Arial"/>
          <w:i/>
          <w:color w:val="595959" w:themeColor="text1" w:themeTint="A6"/>
          <w:sz w:val="24"/>
          <w:szCs w:val="24"/>
          <w:lang w:eastAsia="ru-RU"/>
        </w:rPr>
        <w:t>- в правоотношения по обязательному пенсионному страхованию в целях уплаты дополнительных страховых взносов на накопительную пенсию.</w:t>
      </w: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D47480" w:rsidRDefault="00D47480" w:rsidP="009C0983">
      <w:pPr>
        <w:spacing w:after="0"/>
        <w:jc w:val="both"/>
        <w:textAlignment w:val="baseline"/>
        <w:rPr>
          <w:rFonts w:ascii="Arial" w:eastAsia="Times New Roman" w:hAnsi="Arial" w:cs="Arial"/>
          <w:i/>
          <w:iCs/>
          <w:color w:val="595959" w:themeColor="text1" w:themeTint="A6"/>
          <w:sz w:val="24"/>
          <w:szCs w:val="24"/>
          <w:bdr w:val="none" w:sz="0" w:space="0" w:color="auto" w:frame="1"/>
          <w:lang w:eastAsia="ru-RU"/>
        </w:rPr>
      </w:pPr>
      <w:r>
        <w:rPr>
          <w:rFonts w:ascii="Arial" w:eastAsia="Times New Roman" w:hAnsi="Arial" w:cs="Arial"/>
          <w:i/>
          <w:iCs/>
          <w:color w:val="595959" w:themeColor="text1" w:themeTint="A6"/>
          <w:sz w:val="24"/>
          <w:szCs w:val="24"/>
          <w:bdr w:val="none" w:sz="0" w:space="0" w:color="auto" w:frame="1"/>
          <w:lang w:eastAsia="ru-RU"/>
        </w:rPr>
        <w:t xml:space="preserve">- </w:t>
      </w:r>
      <w:r w:rsidR="00585DFD" w:rsidRPr="009C0983">
        <w:rPr>
          <w:rFonts w:ascii="Arial" w:eastAsia="Times New Roman" w:hAnsi="Arial" w:cs="Arial"/>
          <w:i/>
          <w:iCs/>
          <w:color w:val="595959" w:themeColor="text1" w:themeTint="A6"/>
          <w:sz w:val="24"/>
          <w:szCs w:val="24"/>
          <w:bdr w:val="none" w:sz="0" w:space="0" w:color="auto" w:frame="1"/>
          <w:lang w:eastAsia="ru-RU"/>
        </w:rPr>
        <w:t>заявления о регистрации;</w:t>
      </w:r>
    </w:p>
    <w:p w:rsidR="00D47480" w:rsidRDefault="00D47480" w:rsidP="009C0983">
      <w:pPr>
        <w:spacing w:after="0"/>
        <w:jc w:val="both"/>
        <w:textAlignment w:val="baseline"/>
        <w:rPr>
          <w:rFonts w:ascii="Arial" w:eastAsia="Times New Roman" w:hAnsi="Arial" w:cs="Arial"/>
          <w:i/>
          <w:iCs/>
          <w:color w:val="595959" w:themeColor="text1" w:themeTint="A6"/>
          <w:sz w:val="24"/>
          <w:szCs w:val="24"/>
          <w:bdr w:val="none" w:sz="0" w:space="0" w:color="auto" w:frame="1"/>
          <w:lang w:eastAsia="ru-RU"/>
        </w:rPr>
      </w:pPr>
    </w:p>
    <w:p w:rsidR="00585DFD" w:rsidRDefault="00D47480" w:rsidP="009C0983">
      <w:pPr>
        <w:spacing w:after="0"/>
        <w:jc w:val="both"/>
        <w:textAlignment w:val="baseline"/>
        <w:rPr>
          <w:rFonts w:ascii="Arial" w:eastAsia="Times New Roman" w:hAnsi="Arial" w:cs="Arial"/>
          <w:i/>
          <w:iCs/>
          <w:color w:val="595959" w:themeColor="text1" w:themeTint="A6"/>
          <w:sz w:val="24"/>
          <w:szCs w:val="24"/>
          <w:bdr w:val="none" w:sz="0" w:space="0" w:color="auto" w:frame="1"/>
          <w:lang w:eastAsia="ru-RU"/>
        </w:rPr>
      </w:pPr>
      <w:r>
        <w:rPr>
          <w:rFonts w:ascii="Arial" w:eastAsia="Times New Roman" w:hAnsi="Arial" w:cs="Arial"/>
          <w:i/>
          <w:iCs/>
          <w:color w:val="595959" w:themeColor="text1" w:themeTint="A6"/>
          <w:sz w:val="24"/>
          <w:szCs w:val="24"/>
          <w:bdr w:val="none" w:sz="0" w:space="0" w:color="auto" w:frame="1"/>
          <w:lang w:eastAsia="ru-RU"/>
        </w:rPr>
        <w:t xml:space="preserve">- </w:t>
      </w:r>
      <w:r w:rsidR="00585DFD" w:rsidRPr="009C0983">
        <w:rPr>
          <w:rFonts w:ascii="Arial" w:eastAsia="Times New Roman" w:hAnsi="Arial" w:cs="Arial"/>
          <w:i/>
          <w:iCs/>
          <w:color w:val="595959" w:themeColor="text1" w:themeTint="A6"/>
          <w:sz w:val="24"/>
          <w:szCs w:val="24"/>
          <w:bdr w:val="none" w:sz="0" w:space="0" w:color="auto" w:frame="1"/>
          <w:lang w:eastAsia="ru-RU"/>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w:t>
      </w:r>
    </w:p>
    <w:p w:rsidR="00D47480" w:rsidRPr="009C0983" w:rsidRDefault="00D47480" w:rsidP="009C0983">
      <w:pPr>
        <w:spacing w:after="0"/>
        <w:jc w:val="both"/>
        <w:textAlignment w:val="baseline"/>
        <w:rPr>
          <w:rFonts w:ascii="Arial" w:eastAsia="Times New Roman" w:hAnsi="Arial" w:cs="Arial"/>
          <w:color w:val="595959" w:themeColor="text1" w:themeTint="A6"/>
          <w:sz w:val="24"/>
          <w:szCs w:val="24"/>
          <w:lang w:eastAsia="ru-RU"/>
        </w:rPr>
      </w:pP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9C0983">
        <w:rPr>
          <w:rFonts w:ascii="Arial" w:eastAsia="Times New Roman" w:hAnsi="Arial" w:cs="Arial"/>
          <w:color w:val="595959" w:themeColor="text1" w:themeTint="A6"/>
          <w:sz w:val="24"/>
          <w:szCs w:val="24"/>
          <w:lang w:eastAsia="ru-RU"/>
        </w:rPr>
        <w:t>за</w:t>
      </w:r>
      <w:proofErr w:type="gramEnd"/>
      <w:r w:rsidRPr="009C0983">
        <w:rPr>
          <w:rFonts w:ascii="Arial" w:eastAsia="Times New Roman" w:hAnsi="Arial" w:cs="Arial"/>
          <w:color w:val="595959" w:themeColor="text1" w:themeTint="A6"/>
          <w:sz w:val="24"/>
          <w:szCs w:val="24"/>
          <w:lang w:eastAsia="ru-RU"/>
        </w:rPr>
        <w:t xml:space="preserve"> </w:t>
      </w:r>
      <w:proofErr w:type="gramStart"/>
      <w:r w:rsidRPr="009C0983">
        <w:rPr>
          <w:rFonts w:ascii="Arial" w:eastAsia="Times New Roman" w:hAnsi="Arial" w:cs="Arial"/>
          <w:color w:val="595959" w:themeColor="text1" w:themeTint="A6"/>
          <w:sz w:val="24"/>
          <w:szCs w:val="24"/>
          <w:lang w:eastAsia="ru-RU"/>
        </w:rPr>
        <w:t>нескольких</w:t>
      </w:r>
      <w:proofErr w:type="gramEnd"/>
      <w:r w:rsidRPr="009C0983">
        <w:rPr>
          <w:rFonts w:ascii="Arial" w:eastAsia="Times New Roman" w:hAnsi="Arial" w:cs="Arial"/>
          <w:color w:val="595959" w:themeColor="text1" w:themeTint="A6"/>
          <w:sz w:val="24"/>
          <w:szCs w:val="24"/>
          <w:lang w:eastAsia="ru-RU"/>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proofErr w:type="gramStart"/>
      <w:r w:rsidRPr="009C0983">
        <w:rPr>
          <w:rFonts w:ascii="Arial" w:eastAsia="Times New Roman" w:hAnsi="Arial" w:cs="Arial"/>
          <w:color w:val="595959" w:themeColor="text1" w:themeTint="A6"/>
          <w:sz w:val="24"/>
          <w:szCs w:val="24"/>
          <w:lang w:eastAsia="ru-RU"/>
        </w:rPr>
        <w:lastRenderedPageBreak/>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 xml:space="preserve">Минимальный размер страховых взносов определяется как произведение двукратного минимального </w:t>
      </w:r>
      <w:proofErr w:type="gramStart"/>
      <w:r w:rsidRPr="009C0983">
        <w:rPr>
          <w:rFonts w:ascii="Arial" w:eastAsia="Times New Roman" w:hAnsi="Arial" w:cs="Arial"/>
          <w:color w:val="595959" w:themeColor="text1" w:themeTint="A6"/>
          <w:sz w:val="24"/>
          <w:szCs w:val="24"/>
          <w:lang w:eastAsia="ru-RU"/>
        </w:rPr>
        <w:t>размера оплаты труда</w:t>
      </w:r>
      <w:proofErr w:type="gramEnd"/>
      <w:r w:rsidRPr="009C0983">
        <w:rPr>
          <w:rFonts w:ascii="Arial" w:eastAsia="Times New Roman" w:hAnsi="Arial" w:cs="Arial"/>
          <w:color w:val="595959" w:themeColor="text1" w:themeTint="A6"/>
          <w:sz w:val="24"/>
          <w:szCs w:val="24"/>
          <w:lang w:eastAsia="ru-RU"/>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proofErr w:type="gramStart"/>
      <w:r w:rsidRPr="009C0983">
        <w:rPr>
          <w:rFonts w:ascii="Arial" w:eastAsia="Times New Roman" w:hAnsi="Arial" w:cs="Arial"/>
          <w:color w:val="595959" w:themeColor="text1" w:themeTint="A6"/>
          <w:sz w:val="24"/>
          <w:szCs w:val="24"/>
          <w:lang w:eastAsia="ru-RU"/>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585DFD" w:rsidRPr="009C0983" w:rsidRDefault="00585DFD" w:rsidP="009C0983">
      <w:pPr>
        <w:spacing w:after="240"/>
        <w:jc w:val="both"/>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4985" w:type="dxa"/>
        <w:shd w:val="clear" w:color="auto" w:fill="FFFFFF"/>
        <w:tblCellMar>
          <w:left w:w="0" w:type="dxa"/>
          <w:right w:w="0" w:type="dxa"/>
        </w:tblCellMar>
        <w:tblLook w:val="04A0" w:firstRow="1" w:lastRow="0" w:firstColumn="1" w:lastColumn="0" w:noHBand="0" w:noVBand="1"/>
      </w:tblPr>
      <w:tblGrid>
        <w:gridCol w:w="3006"/>
        <w:gridCol w:w="11979"/>
      </w:tblGrid>
      <w:tr w:rsidR="009C0983" w:rsidRPr="009C0983" w:rsidTr="00585DFD">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585DFD" w:rsidRPr="009C0983" w:rsidRDefault="00585DFD" w:rsidP="009C0983">
            <w:pPr>
              <w:spacing w:after="0"/>
              <w:jc w:val="center"/>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Код</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585DFD" w:rsidRPr="009C0983" w:rsidRDefault="00585DFD" w:rsidP="009C0983">
            <w:pPr>
              <w:spacing w:after="0"/>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Наименование КБК</w:t>
            </w:r>
          </w:p>
        </w:tc>
      </w:tr>
      <w:tr w:rsidR="009C0983" w:rsidRPr="009C0983" w:rsidTr="00585DFD">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585DFD" w:rsidRPr="009C0983" w:rsidRDefault="00585DFD" w:rsidP="009C0983">
            <w:pPr>
              <w:spacing w:after="0"/>
              <w:jc w:val="center"/>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b/>
                <w:bCs/>
                <w:color w:val="595959" w:themeColor="text1" w:themeTint="A6"/>
                <w:sz w:val="24"/>
                <w:szCs w:val="24"/>
                <w:bdr w:val="none" w:sz="0" w:space="0" w:color="auto" w:frame="1"/>
                <w:lang w:eastAsia="ru-RU"/>
              </w:rPr>
              <w:t>39210202042061000160</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585DFD" w:rsidRPr="009C0983" w:rsidRDefault="00585DFD" w:rsidP="009C0983">
            <w:pPr>
              <w:tabs>
                <w:tab w:val="left" w:pos="6917"/>
              </w:tabs>
              <w:spacing w:after="0"/>
              <w:ind w:right="5293"/>
              <w:jc w:val="center"/>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585DFD" w:rsidRPr="009C0983" w:rsidRDefault="00585DFD" w:rsidP="009C0983">
      <w:pPr>
        <w:spacing w:after="240"/>
        <w:textAlignment w:val="baseline"/>
        <w:rPr>
          <w:rFonts w:ascii="Arial" w:eastAsia="Times New Roman" w:hAnsi="Arial" w:cs="Arial"/>
          <w:color w:val="595959" w:themeColor="text1" w:themeTint="A6"/>
          <w:sz w:val="24"/>
          <w:szCs w:val="24"/>
          <w:lang w:eastAsia="ru-RU"/>
        </w:rPr>
      </w:pPr>
      <w:r w:rsidRPr="009C0983">
        <w:rPr>
          <w:rFonts w:ascii="Arial" w:eastAsia="Times New Roman" w:hAnsi="Arial" w:cs="Arial"/>
          <w:color w:val="595959" w:themeColor="text1" w:themeTint="A6"/>
          <w:sz w:val="24"/>
          <w:szCs w:val="24"/>
          <w:lang w:eastAsia="ru-RU"/>
        </w:rPr>
        <w:t> </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Пресс-служба</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Отделения Пенсионного фонда РФ</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по Кабардино-Балкарской республике</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г. Нальчик, ул. Чернышевского 181 «а»,</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Офис № 316</w:t>
      </w:r>
    </w:p>
    <w:p w:rsidR="009C0983" w:rsidRPr="009C0983" w:rsidRDefault="009C0983" w:rsidP="009C0983">
      <w:pPr>
        <w:spacing w:after="0"/>
        <w:ind w:firstLine="4253"/>
        <w:rPr>
          <w:rFonts w:ascii="Arial" w:eastAsia="Times New Roman" w:hAnsi="Arial" w:cs="Arial"/>
          <w:b/>
          <w:color w:val="595959" w:themeColor="text1" w:themeTint="A6"/>
          <w:sz w:val="24"/>
          <w:szCs w:val="24"/>
          <w:lang w:eastAsia="ru-RU"/>
        </w:rPr>
      </w:pPr>
      <w:r w:rsidRPr="009C0983">
        <w:rPr>
          <w:rFonts w:ascii="Arial" w:eastAsia="Times New Roman" w:hAnsi="Arial" w:cs="Arial"/>
          <w:b/>
          <w:color w:val="595959" w:themeColor="text1" w:themeTint="A6"/>
          <w:sz w:val="24"/>
          <w:szCs w:val="24"/>
          <w:lang w:eastAsia="ru-RU"/>
        </w:rPr>
        <w:t xml:space="preserve">Вебсайт: </w:t>
      </w:r>
      <w:hyperlink r:id="rId5" w:history="1">
        <w:r w:rsidRPr="009C0983">
          <w:rPr>
            <w:rFonts w:ascii="Arial" w:eastAsia="Times New Roman" w:hAnsi="Arial" w:cs="Arial"/>
            <w:b/>
            <w:color w:val="595959" w:themeColor="text1" w:themeTint="A6"/>
            <w:sz w:val="24"/>
            <w:szCs w:val="24"/>
            <w:u w:val="single"/>
            <w:lang w:eastAsia="ru-RU"/>
          </w:rPr>
          <w:t>http://www.pfrf.ru/branches/kbr/news/</w:t>
        </w:r>
      </w:hyperlink>
    </w:p>
    <w:p w:rsidR="009C0983" w:rsidRPr="009C0983" w:rsidRDefault="009C0983" w:rsidP="009C0983">
      <w:pPr>
        <w:spacing w:after="0"/>
        <w:ind w:firstLine="4253"/>
        <w:rPr>
          <w:rFonts w:ascii="Arial" w:eastAsia="Times New Roman" w:hAnsi="Arial" w:cs="Arial"/>
          <w:b/>
          <w:color w:val="595959" w:themeColor="text1" w:themeTint="A6"/>
          <w:sz w:val="24"/>
          <w:szCs w:val="24"/>
          <w:lang w:val="en-US" w:eastAsia="ru-RU"/>
        </w:rPr>
      </w:pPr>
      <w:r w:rsidRPr="009C0983">
        <w:rPr>
          <w:rFonts w:ascii="Arial" w:eastAsia="Times New Roman" w:hAnsi="Arial" w:cs="Arial"/>
          <w:b/>
          <w:color w:val="595959" w:themeColor="text1" w:themeTint="A6"/>
          <w:sz w:val="24"/>
          <w:szCs w:val="24"/>
          <w:lang w:val="en-US" w:eastAsia="ru-RU"/>
        </w:rPr>
        <w:t xml:space="preserve">E-mail: </w:t>
      </w:r>
      <w:r w:rsidRPr="009C0983">
        <w:rPr>
          <w:rFonts w:ascii="Arial" w:eastAsia="Times New Roman" w:hAnsi="Arial" w:cs="Arial"/>
          <w:b/>
          <w:color w:val="595959" w:themeColor="text1" w:themeTint="A6"/>
          <w:sz w:val="24"/>
          <w:szCs w:val="24"/>
          <w:u w:val="single"/>
          <w:lang w:val="en-US" w:eastAsia="ru-RU"/>
        </w:rPr>
        <w:t>opfr_po_kbr@mail.ru</w:t>
      </w:r>
    </w:p>
    <w:p w:rsidR="009C0983" w:rsidRPr="00585DFD" w:rsidRDefault="009C0983">
      <w:pPr>
        <w:rPr>
          <w:lang w:val="en-US"/>
        </w:rPr>
      </w:pPr>
    </w:p>
    <w:sectPr w:rsidR="009C0983" w:rsidRPr="00585DFD" w:rsidSect="009C0983">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FD"/>
    <w:rsid w:val="00305E7A"/>
    <w:rsid w:val="00585DFD"/>
    <w:rsid w:val="007504A1"/>
    <w:rsid w:val="009C0983"/>
    <w:rsid w:val="00A63113"/>
    <w:rsid w:val="00D4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57326">
      <w:bodyDiv w:val="1"/>
      <w:marLeft w:val="0"/>
      <w:marRight w:val="0"/>
      <w:marTop w:val="0"/>
      <w:marBottom w:val="0"/>
      <w:divBdr>
        <w:top w:val="none" w:sz="0" w:space="0" w:color="auto"/>
        <w:left w:val="none" w:sz="0" w:space="0" w:color="auto"/>
        <w:bottom w:val="none" w:sz="0" w:space="0" w:color="auto"/>
        <w:right w:val="none" w:sz="0" w:space="0" w:color="auto"/>
      </w:divBdr>
      <w:divsChild>
        <w:div w:id="653535151">
          <w:marLeft w:val="0"/>
          <w:marRight w:val="0"/>
          <w:marTop w:val="0"/>
          <w:marBottom w:val="0"/>
          <w:divBdr>
            <w:top w:val="none" w:sz="0" w:space="0" w:color="auto"/>
            <w:left w:val="none" w:sz="0" w:space="0" w:color="auto"/>
            <w:bottom w:val="none" w:sz="0" w:space="0" w:color="auto"/>
            <w:right w:val="none" w:sz="0" w:space="0" w:color="auto"/>
          </w:divBdr>
          <w:divsChild>
            <w:div w:id="1716195847">
              <w:marLeft w:val="0"/>
              <w:marRight w:val="0"/>
              <w:marTop w:val="0"/>
              <w:marBottom w:val="0"/>
              <w:divBdr>
                <w:top w:val="none" w:sz="0" w:space="0" w:color="auto"/>
                <w:left w:val="none" w:sz="0" w:space="0" w:color="auto"/>
                <w:bottom w:val="none" w:sz="0" w:space="0" w:color="auto"/>
                <w:right w:val="none" w:sz="0" w:space="0" w:color="auto"/>
              </w:divBdr>
            </w:div>
          </w:divsChild>
        </w:div>
        <w:div w:id="1813862339">
          <w:marLeft w:val="0"/>
          <w:marRight w:val="0"/>
          <w:marTop w:val="0"/>
          <w:marBottom w:val="0"/>
          <w:divBdr>
            <w:top w:val="none" w:sz="0" w:space="0" w:color="auto"/>
            <w:left w:val="none" w:sz="0" w:space="0" w:color="auto"/>
            <w:bottom w:val="none" w:sz="0" w:space="0" w:color="auto"/>
            <w:right w:val="none" w:sz="0" w:space="0" w:color="auto"/>
          </w:divBdr>
          <w:divsChild>
            <w:div w:id="1173105239">
              <w:marLeft w:val="0"/>
              <w:marRight w:val="0"/>
              <w:marTop w:val="0"/>
              <w:marBottom w:val="0"/>
              <w:divBdr>
                <w:top w:val="none" w:sz="0" w:space="0" w:color="auto"/>
                <w:left w:val="none" w:sz="0" w:space="0" w:color="auto"/>
                <w:bottom w:val="none" w:sz="0" w:space="0" w:color="auto"/>
                <w:right w:val="none" w:sz="0" w:space="0" w:color="auto"/>
              </w:divBdr>
              <w:divsChild>
                <w:div w:id="20632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3712</Characters>
  <Application>Microsoft Office Word</Application>
  <DocSecurity>0</DocSecurity>
  <Lines>30</Lines>
  <Paragraphs>8</Paragraphs>
  <ScaleCrop>false</ScaleCrop>
  <Company>Kraftway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Зарета Алоева</cp:lastModifiedBy>
  <cp:revision>4</cp:revision>
  <dcterms:created xsi:type="dcterms:W3CDTF">2017-07-21T11:52:00Z</dcterms:created>
  <dcterms:modified xsi:type="dcterms:W3CDTF">2017-07-25T06:16:00Z</dcterms:modified>
</cp:coreProperties>
</file>